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02" w:rsidRPr="003134DB" w:rsidRDefault="00115E02" w:rsidP="00115E02">
      <w:pPr>
        <w:widowControl w:val="0"/>
        <w:autoSpaceDE w:val="0"/>
        <w:autoSpaceDN w:val="0"/>
        <w:adjustRightInd w:val="0"/>
        <w:spacing w:after="120" w:line="240" w:lineRule="auto"/>
        <w:rPr>
          <w:rFonts w:ascii="Times New Roman" w:hAnsi="Times New Roman"/>
          <w:color w:val="000000"/>
          <w:sz w:val="24"/>
          <w:szCs w:val="24"/>
          <w:lang w:val="uk-UA"/>
        </w:rPr>
      </w:pPr>
      <w:r w:rsidRPr="003134DB">
        <w:rPr>
          <w:rFonts w:ascii="Times New Roman" w:hAnsi="Times New Roman"/>
          <w:color w:val="000000"/>
          <w:sz w:val="24"/>
          <w:szCs w:val="24"/>
          <w:lang w:val="hr-HR"/>
        </w:rPr>
        <w:t xml:space="preserve">Додаток </w:t>
      </w:r>
    </w:p>
    <w:p w:rsidR="00115E02" w:rsidRPr="003134DB" w:rsidRDefault="00115E02" w:rsidP="00115E02">
      <w:pPr>
        <w:widowControl w:val="0"/>
        <w:autoSpaceDE w:val="0"/>
        <w:autoSpaceDN w:val="0"/>
        <w:adjustRightInd w:val="0"/>
        <w:spacing w:after="120" w:line="240" w:lineRule="auto"/>
        <w:rPr>
          <w:rFonts w:ascii="Times New Roman" w:hAnsi="Times New Roman"/>
          <w:color w:val="000000"/>
          <w:sz w:val="24"/>
          <w:szCs w:val="24"/>
          <w:lang w:val="hr-HR"/>
        </w:rPr>
      </w:pPr>
      <w:r w:rsidRPr="003134DB">
        <w:rPr>
          <w:rFonts w:ascii="Times New Roman" w:hAnsi="Times New Roman"/>
          <w:color w:val="000000"/>
          <w:sz w:val="24"/>
          <w:szCs w:val="24"/>
          <w:lang w:val="hr-HR"/>
        </w:rPr>
        <w:t xml:space="preserve">до рішення </w:t>
      </w:r>
      <w:r w:rsidRPr="003134DB">
        <w:rPr>
          <w:rFonts w:ascii="Times New Roman" w:hAnsi="Times New Roman"/>
          <w:color w:val="000000"/>
          <w:sz w:val="24"/>
          <w:szCs w:val="24"/>
          <w:lang w:val="hr-HR"/>
        </w:rPr>
        <w:br/>
      </w:r>
      <w:proofErr w:type="spellStart"/>
      <w:r w:rsidRPr="003134DB">
        <w:rPr>
          <w:rFonts w:ascii="Times New Roman" w:hAnsi="Times New Roman"/>
          <w:color w:val="000000"/>
          <w:sz w:val="24"/>
          <w:szCs w:val="24"/>
          <w:lang w:val="uk-UA"/>
        </w:rPr>
        <w:t>четверт</w:t>
      </w:r>
      <w:proofErr w:type="spellEnd"/>
      <w:r w:rsidRPr="003134DB">
        <w:rPr>
          <w:rFonts w:ascii="Times New Roman" w:hAnsi="Times New Roman"/>
          <w:color w:val="000000"/>
          <w:sz w:val="24"/>
          <w:szCs w:val="24"/>
          <w:lang w:val="hr-HR"/>
        </w:rPr>
        <w:t>ої сесії</w:t>
      </w:r>
    </w:p>
    <w:p w:rsidR="00115E02" w:rsidRPr="003134DB" w:rsidRDefault="00115E02" w:rsidP="00115E02">
      <w:pPr>
        <w:widowControl w:val="0"/>
        <w:autoSpaceDE w:val="0"/>
        <w:autoSpaceDN w:val="0"/>
        <w:adjustRightInd w:val="0"/>
        <w:spacing w:after="120" w:line="240" w:lineRule="auto"/>
        <w:rPr>
          <w:rFonts w:ascii="Times New Roman" w:hAnsi="Times New Roman"/>
          <w:color w:val="000000"/>
          <w:sz w:val="24"/>
          <w:szCs w:val="24"/>
          <w:lang w:val="uk-UA"/>
        </w:rPr>
      </w:pPr>
      <w:r w:rsidRPr="003134DB">
        <w:rPr>
          <w:rFonts w:ascii="Times New Roman" w:hAnsi="Times New Roman"/>
          <w:color w:val="000000"/>
          <w:sz w:val="24"/>
          <w:szCs w:val="24"/>
          <w:lang w:val="uk-UA"/>
        </w:rPr>
        <w:t>19</w:t>
      </w:r>
      <w:r w:rsidRPr="003134DB">
        <w:rPr>
          <w:rFonts w:ascii="Times New Roman" w:hAnsi="Times New Roman"/>
          <w:color w:val="000000"/>
          <w:sz w:val="24"/>
          <w:szCs w:val="24"/>
          <w:lang w:val="hr-HR"/>
        </w:rPr>
        <w:t>.0</w:t>
      </w:r>
      <w:r w:rsidRPr="003134DB">
        <w:rPr>
          <w:rFonts w:ascii="Times New Roman" w:hAnsi="Times New Roman"/>
          <w:color w:val="000000"/>
          <w:sz w:val="24"/>
          <w:szCs w:val="24"/>
          <w:lang w:val="uk-UA"/>
        </w:rPr>
        <w:t>1</w:t>
      </w:r>
      <w:r w:rsidRPr="003134DB">
        <w:rPr>
          <w:rFonts w:ascii="Times New Roman" w:hAnsi="Times New Roman"/>
          <w:color w:val="000000"/>
          <w:sz w:val="24"/>
          <w:szCs w:val="24"/>
          <w:lang w:val="hr-HR"/>
        </w:rPr>
        <w:t>.201</w:t>
      </w:r>
      <w:r w:rsidRPr="003134DB">
        <w:rPr>
          <w:rFonts w:ascii="Times New Roman" w:hAnsi="Times New Roman"/>
          <w:color w:val="000000"/>
          <w:sz w:val="24"/>
          <w:szCs w:val="24"/>
          <w:lang w:val="uk-UA"/>
        </w:rPr>
        <w:t>7</w:t>
      </w:r>
      <w:r w:rsidRPr="003134DB">
        <w:rPr>
          <w:rFonts w:ascii="Times New Roman" w:hAnsi="Times New Roman"/>
          <w:color w:val="000000"/>
          <w:sz w:val="24"/>
          <w:szCs w:val="24"/>
          <w:lang w:val="hr-HR"/>
        </w:rPr>
        <w:t xml:space="preserve"> № </w:t>
      </w:r>
      <w:r w:rsidRPr="003134DB">
        <w:rPr>
          <w:rFonts w:ascii="Times New Roman" w:hAnsi="Times New Roman"/>
          <w:color w:val="000000"/>
          <w:sz w:val="24"/>
          <w:szCs w:val="24"/>
          <w:lang w:val="uk-UA"/>
        </w:rPr>
        <w:t>5</w:t>
      </w:r>
    </w:p>
    <w:p w:rsidR="00115E02" w:rsidRPr="003134DB" w:rsidRDefault="00115E02" w:rsidP="00115E02">
      <w:pPr>
        <w:widowControl w:val="0"/>
        <w:autoSpaceDE w:val="0"/>
        <w:autoSpaceDN w:val="0"/>
        <w:adjustRightInd w:val="0"/>
        <w:spacing w:after="120" w:line="240" w:lineRule="auto"/>
        <w:rPr>
          <w:rFonts w:ascii="Times New Roman" w:hAnsi="Times New Roman"/>
          <w:color w:val="000000"/>
          <w:sz w:val="24"/>
          <w:szCs w:val="24"/>
          <w:lang w:val="hr-HR"/>
        </w:rPr>
      </w:pPr>
    </w:p>
    <w:p w:rsidR="00115E02" w:rsidRPr="003134DB" w:rsidRDefault="00115E02" w:rsidP="00115E02">
      <w:pPr>
        <w:widowControl w:val="0"/>
        <w:autoSpaceDE w:val="0"/>
        <w:autoSpaceDN w:val="0"/>
        <w:adjustRightInd w:val="0"/>
        <w:spacing w:after="120" w:line="240" w:lineRule="auto"/>
        <w:jc w:val="center"/>
        <w:rPr>
          <w:rFonts w:ascii="Times New Roman" w:hAnsi="Times New Roman"/>
          <w:b/>
          <w:color w:val="000000"/>
          <w:sz w:val="24"/>
          <w:szCs w:val="24"/>
          <w:lang w:val="hr-HR"/>
        </w:rPr>
      </w:pPr>
      <w:r w:rsidRPr="003134DB">
        <w:rPr>
          <w:rFonts w:ascii="Times New Roman" w:hAnsi="Times New Roman"/>
          <w:b/>
          <w:color w:val="000000"/>
          <w:sz w:val="24"/>
          <w:szCs w:val="24"/>
          <w:lang w:val="hr-HR"/>
        </w:rPr>
        <w:t>ПОЛОЖЕННЯ</w:t>
      </w:r>
      <w:r w:rsidRPr="003134DB">
        <w:rPr>
          <w:rFonts w:ascii="Times New Roman" w:hAnsi="Times New Roman"/>
          <w:b/>
          <w:color w:val="000000"/>
          <w:sz w:val="24"/>
          <w:szCs w:val="24"/>
          <w:lang w:val="hr-HR"/>
        </w:rPr>
        <w:br/>
      </w:r>
      <w:r w:rsidRPr="003134DB">
        <w:rPr>
          <w:rFonts w:ascii="Times New Roman" w:hAnsi="Times New Roman"/>
          <w:b/>
          <w:color w:val="000000"/>
          <w:sz w:val="24"/>
          <w:szCs w:val="24"/>
          <w:lang w:val="hr-HR"/>
        </w:rPr>
        <w:br/>
        <w:t>про туристичний збір на 201</w:t>
      </w:r>
      <w:r w:rsidRPr="003134DB">
        <w:rPr>
          <w:rFonts w:ascii="Times New Roman" w:hAnsi="Times New Roman"/>
          <w:b/>
          <w:color w:val="000000"/>
          <w:sz w:val="24"/>
          <w:szCs w:val="24"/>
          <w:lang w:val="uk-UA"/>
        </w:rPr>
        <w:t>7</w:t>
      </w:r>
      <w:r w:rsidRPr="003134DB">
        <w:rPr>
          <w:rFonts w:ascii="Times New Roman" w:hAnsi="Times New Roman"/>
          <w:b/>
          <w:color w:val="000000"/>
          <w:sz w:val="24"/>
          <w:szCs w:val="24"/>
          <w:lang w:val="hr-HR"/>
        </w:rPr>
        <w:t xml:space="preserve"> рік</w:t>
      </w:r>
    </w:p>
    <w:p w:rsidR="00115E02" w:rsidRPr="003134DB" w:rsidRDefault="00115E02" w:rsidP="0011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sidRPr="003134DB">
        <w:rPr>
          <w:rFonts w:ascii="Times New Roman" w:hAnsi="Times New Roman"/>
          <w:color w:val="000000"/>
          <w:sz w:val="24"/>
          <w:szCs w:val="24"/>
          <w:lang w:val="uk-UA"/>
        </w:rPr>
        <w:t xml:space="preserve">1. Платники збору </w:t>
      </w:r>
      <w:r w:rsidRPr="003134DB">
        <w:rPr>
          <w:rFonts w:ascii="Times New Roman" w:hAnsi="Times New Roman"/>
          <w:color w:val="000000"/>
          <w:sz w:val="24"/>
          <w:szCs w:val="24"/>
          <w:lang w:val="uk-UA"/>
        </w:rPr>
        <w:br/>
      </w:r>
    </w:p>
    <w:p w:rsidR="00115E02" w:rsidRPr="003134DB" w:rsidRDefault="00115E02" w:rsidP="00115E02">
      <w:pPr>
        <w:shd w:val="clear" w:color="auto" w:fill="FFFFFF"/>
        <w:spacing w:after="0" w:line="283" w:lineRule="atLeast"/>
        <w:jc w:val="both"/>
        <w:textAlignment w:val="baseline"/>
        <w:rPr>
          <w:rFonts w:ascii="Times New Roman" w:hAnsi="Times New Roman"/>
          <w:sz w:val="24"/>
          <w:szCs w:val="24"/>
          <w:lang w:val="uk-UA"/>
        </w:rPr>
      </w:pPr>
      <w:r w:rsidRPr="003134DB">
        <w:rPr>
          <w:rFonts w:ascii="Times New Roman" w:hAnsi="Times New Roman"/>
          <w:color w:val="000000"/>
          <w:sz w:val="24"/>
          <w:szCs w:val="24"/>
          <w:lang w:val="uk-UA"/>
        </w:rPr>
        <w:t xml:space="preserve">1.1. </w:t>
      </w:r>
      <w:r w:rsidRPr="003134DB">
        <w:rPr>
          <w:rFonts w:ascii="Times New Roman" w:hAnsi="Times New Roman"/>
          <w:color w:val="000000"/>
          <w:sz w:val="24"/>
          <w:szCs w:val="24"/>
          <w:bdr w:val="none" w:sz="0" w:space="0" w:color="auto" w:frame="1"/>
          <w:lang w:val="uk-UA"/>
        </w:rPr>
        <w:t>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115E02" w:rsidRPr="003134DB" w:rsidRDefault="00115E02" w:rsidP="0011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3134DB">
        <w:rPr>
          <w:rFonts w:ascii="Times New Roman" w:hAnsi="Times New Roman"/>
          <w:color w:val="000000"/>
          <w:sz w:val="24"/>
          <w:szCs w:val="24"/>
          <w:lang w:val="uk-UA"/>
        </w:rPr>
        <w:t xml:space="preserve"> </w:t>
      </w:r>
    </w:p>
    <w:p w:rsidR="00115E02" w:rsidRPr="003134DB" w:rsidRDefault="00115E02" w:rsidP="0011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sidRPr="003134DB">
        <w:rPr>
          <w:rFonts w:ascii="Times New Roman" w:hAnsi="Times New Roman"/>
          <w:color w:val="000000"/>
          <w:sz w:val="24"/>
          <w:szCs w:val="24"/>
          <w:lang w:val="uk-UA"/>
        </w:rPr>
        <w:t xml:space="preserve">     2. Об'єкт і база оподаткування збором </w:t>
      </w:r>
      <w:r w:rsidRPr="003134DB">
        <w:rPr>
          <w:rFonts w:ascii="Times New Roman" w:hAnsi="Times New Roman"/>
          <w:color w:val="000000"/>
          <w:sz w:val="24"/>
          <w:szCs w:val="24"/>
          <w:lang w:val="uk-UA"/>
        </w:rPr>
        <w:br/>
      </w: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r w:rsidRPr="003134DB">
        <w:rPr>
          <w:rFonts w:ascii="Times New Roman" w:hAnsi="Times New Roman"/>
          <w:color w:val="000000"/>
          <w:sz w:val="24"/>
          <w:szCs w:val="24"/>
          <w:lang w:val="uk-UA"/>
        </w:rPr>
        <w:t xml:space="preserve">     2.1. </w:t>
      </w:r>
      <w:r w:rsidRPr="003134DB">
        <w:rPr>
          <w:rFonts w:ascii="Times New Roman" w:hAnsi="Times New Roman"/>
          <w:color w:val="000000"/>
          <w:sz w:val="24"/>
          <w:szCs w:val="24"/>
          <w:bdr w:val="none" w:sz="0" w:space="0" w:color="auto" w:frame="1"/>
          <w:lang w:val="uk-UA"/>
        </w:rPr>
        <w:t>Базою справляння є вартість усього періоду проживання (ночівлі) в місцях, визначених підпунктом 268.5.1 статті Податкового кодексу, за вирахуванням податку на додану вартість.</w:t>
      </w:r>
    </w:p>
    <w:p w:rsidR="00115E02" w:rsidRPr="003134DB" w:rsidRDefault="00115E02" w:rsidP="0011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val="uk-UA"/>
        </w:rPr>
      </w:pPr>
      <w:r w:rsidRPr="003134DB">
        <w:rPr>
          <w:rFonts w:ascii="Times New Roman" w:hAnsi="Times New Roman"/>
          <w:color w:val="000000"/>
          <w:sz w:val="24"/>
          <w:szCs w:val="24"/>
          <w:bdr w:val="none" w:sz="0" w:space="0" w:color="auto" w:frame="1"/>
          <w:lang w:val="uk-UA"/>
        </w:rPr>
        <w:t xml:space="preserve">   2.2.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115E02" w:rsidRPr="003134DB" w:rsidRDefault="00115E02" w:rsidP="0011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val="uk-UA"/>
        </w:rPr>
      </w:pPr>
    </w:p>
    <w:p w:rsidR="00115E02" w:rsidRPr="003134DB" w:rsidRDefault="00115E02" w:rsidP="0011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3134DB">
        <w:rPr>
          <w:rFonts w:ascii="Times New Roman" w:hAnsi="Times New Roman"/>
          <w:color w:val="000000"/>
          <w:sz w:val="24"/>
          <w:szCs w:val="24"/>
          <w:lang w:val="uk-UA"/>
        </w:rPr>
        <w:t xml:space="preserve">3. Ставки збору </w:t>
      </w:r>
    </w:p>
    <w:p w:rsidR="00115E02" w:rsidRPr="003134DB" w:rsidRDefault="00115E02" w:rsidP="0011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p>
    <w:p w:rsidR="00115E02" w:rsidRPr="003134DB" w:rsidRDefault="00115E02" w:rsidP="0011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3134DB">
        <w:rPr>
          <w:rFonts w:ascii="Times New Roman" w:hAnsi="Times New Roman"/>
          <w:color w:val="000000"/>
          <w:sz w:val="24"/>
          <w:szCs w:val="24"/>
          <w:lang w:val="uk-UA"/>
        </w:rPr>
        <w:t xml:space="preserve">3.1. </w:t>
      </w:r>
      <w:r w:rsidRPr="003134DB">
        <w:rPr>
          <w:rFonts w:ascii="Times New Roman" w:hAnsi="Times New Roman"/>
          <w:color w:val="000000"/>
          <w:sz w:val="24"/>
          <w:szCs w:val="24"/>
          <w:bdr w:val="none" w:sz="0" w:space="0" w:color="auto" w:frame="1"/>
          <w:lang w:val="uk-UA"/>
        </w:rPr>
        <w:t xml:space="preserve">Ставка встановлюється </w:t>
      </w:r>
      <w:r w:rsidRPr="003134DB">
        <w:rPr>
          <w:rFonts w:ascii="Times New Roman" w:hAnsi="Times New Roman"/>
          <w:b/>
          <w:color w:val="000000"/>
          <w:sz w:val="24"/>
          <w:szCs w:val="24"/>
          <w:bdr w:val="none" w:sz="0" w:space="0" w:color="auto" w:frame="1"/>
          <w:lang w:val="uk-UA"/>
        </w:rPr>
        <w:t>у розмірі 0,75 відсотка</w:t>
      </w:r>
      <w:r w:rsidRPr="003134DB">
        <w:rPr>
          <w:rFonts w:ascii="Times New Roman" w:hAnsi="Times New Roman"/>
          <w:color w:val="000000"/>
          <w:sz w:val="24"/>
          <w:szCs w:val="24"/>
          <w:bdr w:val="none" w:sz="0" w:space="0" w:color="auto" w:frame="1"/>
          <w:lang w:val="uk-UA"/>
        </w:rPr>
        <w:t xml:space="preserve"> до бази справляння збору, визначеної</w:t>
      </w:r>
      <w:r w:rsidRPr="003134DB">
        <w:rPr>
          <w:rFonts w:ascii="Times New Roman" w:hAnsi="Times New Roman"/>
          <w:color w:val="000000"/>
          <w:sz w:val="24"/>
          <w:szCs w:val="24"/>
          <w:lang w:val="uk-UA"/>
        </w:rPr>
        <w:t> </w:t>
      </w:r>
      <w:hyperlink r:id="rId4" w:anchor="n6542" w:history="1">
        <w:r w:rsidRPr="003134DB">
          <w:rPr>
            <w:rFonts w:ascii="Times New Roman" w:hAnsi="Times New Roman"/>
            <w:sz w:val="24"/>
            <w:szCs w:val="24"/>
            <w:lang w:val="uk-UA"/>
          </w:rPr>
          <w:t>пунктом 268.4</w:t>
        </w:r>
      </w:hyperlink>
      <w:r w:rsidRPr="003134DB">
        <w:rPr>
          <w:rFonts w:ascii="Times New Roman" w:hAnsi="Times New Roman"/>
          <w:color w:val="000000"/>
          <w:sz w:val="24"/>
          <w:szCs w:val="24"/>
          <w:lang w:val="uk-UA"/>
        </w:rPr>
        <w:t> </w:t>
      </w:r>
      <w:r w:rsidRPr="003134DB">
        <w:rPr>
          <w:rFonts w:ascii="Times New Roman" w:hAnsi="Times New Roman"/>
          <w:color w:val="000000"/>
          <w:sz w:val="24"/>
          <w:szCs w:val="24"/>
          <w:bdr w:val="none" w:sz="0" w:space="0" w:color="auto" w:frame="1"/>
          <w:lang w:val="uk-UA"/>
        </w:rPr>
        <w:t>податкового Кодексу.</w:t>
      </w:r>
    </w:p>
    <w:p w:rsidR="00115E02" w:rsidRPr="003134DB" w:rsidRDefault="00115E02" w:rsidP="0011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r w:rsidRPr="003134DB">
        <w:rPr>
          <w:rFonts w:ascii="Times New Roman" w:hAnsi="Times New Roman"/>
          <w:color w:val="000000"/>
          <w:sz w:val="24"/>
          <w:szCs w:val="24"/>
          <w:lang w:val="uk-UA"/>
        </w:rPr>
        <w:t xml:space="preserve">4. </w:t>
      </w:r>
      <w:r w:rsidRPr="003134DB">
        <w:rPr>
          <w:rFonts w:ascii="Times New Roman" w:hAnsi="Times New Roman"/>
          <w:color w:val="000000"/>
          <w:sz w:val="24"/>
          <w:szCs w:val="24"/>
          <w:bdr w:val="none" w:sz="0" w:space="0" w:color="auto" w:frame="1"/>
          <w:lang w:val="uk-UA"/>
        </w:rPr>
        <w:t>База справляння збору</w:t>
      </w: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r w:rsidRPr="003134DB">
        <w:rPr>
          <w:rFonts w:ascii="Times New Roman" w:hAnsi="Times New Roman"/>
          <w:color w:val="000000"/>
          <w:sz w:val="24"/>
          <w:szCs w:val="24"/>
          <w:bdr w:val="none" w:sz="0" w:space="0" w:color="auto" w:frame="1"/>
          <w:lang w:val="uk-UA"/>
        </w:rPr>
        <w:t>4.1. Базою справляння є вартість усього періоду проживання (ночівлі) в місцях, визначених підпунктом 268.5.1 статті Податкового Кодексу, за вирахуванням податку на додану вартість.</w:t>
      </w: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r w:rsidRPr="003134DB">
        <w:rPr>
          <w:rFonts w:ascii="Times New Roman" w:hAnsi="Times New Roman"/>
          <w:color w:val="000000"/>
          <w:sz w:val="24"/>
          <w:szCs w:val="24"/>
          <w:bdr w:val="none" w:sz="0" w:space="0" w:color="auto" w:frame="1"/>
          <w:lang w:val="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r w:rsidRPr="003134DB">
        <w:rPr>
          <w:rFonts w:ascii="Times New Roman" w:hAnsi="Times New Roman"/>
          <w:color w:val="000000"/>
          <w:sz w:val="24"/>
          <w:szCs w:val="24"/>
          <w:bdr w:val="none" w:sz="0" w:space="0" w:color="auto" w:frame="1"/>
          <w:lang w:val="uk-UA"/>
        </w:rPr>
        <w:t>5. Податкові агенти</w:t>
      </w: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r w:rsidRPr="003134DB">
        <w:rPr>
          <w:rFonts w:ascii="Times New Roman" w:hAnsi="Times New Roman"/>
          <w:color w:val="000000"/>
          <w:sz w:val="24"/>
          <w:szCs w:val="24"/>
          <w:bdr w:val="none" w:sz="0" w:space="0" w:color="auto" w:frame="1"/>
          <w:lang w:val="uk-UA"/>
        </w:rPr>
        <w:t>5.1. Згідно з рішенням сільської  ради справляння збору може здійснюватися:</w:t>
      </w: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r w:rsidRPr="003134DB">
        <w:rPr>
          <w:rFonts w:ascii="Times New Roman" w:hAnsi="Times New Roman"/>
          <w:color w:val="000000"/>
          <w:sz w:val="24"/>
          <w:szCs w:val="24"/>
          <w:bdr w:val="none" w:sz="0" w:space="0" w:color="auto" w:frame="1"/>
          <w:lang w:val="uk-UA"/>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r w:rsidRPr="003134DB">
        <w:rPr>
          <w:rFonts w:ascii="Times New Roman" w:hAnsi="Times New Roman"/>
          <w:color w:val="000000"/>
          <w:sz w:val="24"/>
          <w:szCs w:val="24"/>
          <w:bdr w:val="none" w:sz="0" w:space="0" w:color="auto" w:frame="1"/>
          <w:lang w:val="uk-UA"/>
        </w:rPr>
        <w:lastRenderedPageBreak/>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r w:rsidRPr="003134DB">
        <w:rPr>
          <w:rFonts w:ascii="Times New Roman" w:hAnsi="Times New Roman"/>
          <w:color w:val="000000"/>
          <w:sz w:val="24"/>
          <w:szCs w:val="24"/>
          <w:bdr w:val="none" w:sz="0" w:space="0" w:color="auto" w:frame="1"/>
          <w:lang w:val="uk-UA"/>
        </w:rPr>
        <w:t>в) юридичними особами або фізичними особами - підприємцями, які уповноважуються сільською радою справляти збір на умовах договору, укладеного з сільською радою.</w:t>
      </w: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r w:rsidRPr="003134DB">
        <w:rPr>
          <w:rFonts w:ascii="Times New Roman" w:hAnsi="Times New Roman"/>
          <w:color w:val="000000"/>
          <w:sz w:val="24"/>
          <w:szCs w:val="24"/>
          <w:bdr w:val="none" w:sz="0" w:space="0" w:color="auto" w:frame="1"/>
          <w:lang w:val="uk-UA"/>
        </w:rPr>
        <w:t>6. Особливості справляння збору</w:t>
      </w: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r w:rsidRPr="003134DB">
        <w:rPr>
          <w:rFonts w:ascii="Times New Roman" w:hAnsi="Times New Roman"/>
          <w:color w:val="000000"/>
          <w:sz w:val="24"/>
          <w:szCs w:val="24"/>
          <w:bdr w:val="none" w:sz="0" w:space="0" w:color="auto" w:frame="1"/>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r w:rsidRPr="003134DB">
        <w:rPr>
          <w:rFonts w:ascii="Times New Roman" w:hAnsi="Times New Roman"/>
          <w:color w:val="000000"/>
          <w:sz w:val="24"/>
          <w:szCs w:val="24"/>
          <w:bdr w:val="none" w:sz="0" w:space="0" w:color="auto" w:frame="1"/>
          <w:lang w:val="uk-UA"/>
        </w:rPr>
        <w:t>7. Порядок сплати збору</w:t>
      </w: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r w:rsidRPr="003134DB">
        <w:rPr>
          <w:rFonts w:ascii="Times New Roman" w:hAnsi="Times New Roman"/>
          <w:color w:val="000000"/>
          <w:sz w:val="24"/>
          <w:szCs w:val="24"/>
          <w:bdr w:val="none" w:sz="0" w:space="0" w:color="auto" w:frame="1"/>
          <w:lang w:val="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115E02" w:rsidRPr="003134DB" w:rsidRDefault="00115E02" w:rsidP="00115E02">
      <w:pPr>
        <w:spacing w:after="0" w:line="240" w:lineRule="auto"/>
        <w:jc w:val="both"/>
        <w:textAlignment w:val="baseline"/>
        <w:rPr>
          <w:rFonts w:ascii="Times New Roman" w:hAnsi="Times New Roman"/>
          <w:color w:val="000000"/>
          <w:sz w:val="24"/>
          <w:szCs w:val="24"/>
          <w:bdr w:val="none" w:sz="0" w:space="0" w:color="auto" w:frame="1"/>
          <w:lang w:val="uk-UA"/>
        </w:rPr>
      </w:pPr>
      <w:r w:rsidRPr="003134DB">
        <w:rPr>
          <w:rFonts w:ascii="Times New Roman" w:hAnsi="Times New Roman"/>
          <w:color w:val="000000"/>
          <w:sz w:val="24"/>
          <w:szCs w:val="24"/>
          <w:bdr w:val="none" w:sz="0" w:space="0" w:color="auto" w:frame="1"/>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115E02" w:rsidRPr="003134DB" w:rsidRDefault="00115E02" w:rsidP="00115E02">
      <w:pPr>
        <w:widowControl w:val="0"/>
        <w:autoSpaceDE w:val="0"/>
        <w:autoSpaceDN w:val="0"/>
        <w:adjustRightInd w:val="0"/>
        <w:spacing w:after="120" w:line="240" w:lineRule="auto"/>
        <w:rPr>
          <w:rFonts w:ascii="Times New Roman" w:hAnsi="Times New Roman"/>
          <w:color w:val="000000"/>
          <w:sz w:val="24"/>
          <w:szCs w:val="24"/>
          <w:lang w:val="hr-HR"/>
        </w:rPr>
      </w:pPr>
      <w:r w:rsidRPr="003134DB">
        <w:rPr>
          <w:rFonts w:ascii="Times New Roman" w:hAnsi="Times New Roman"/>
          <w:color w:val="000000"/>
          <w:sz w:val="24"/>
          <w:szCs w:val="24"/>
          <w:bdr w:val="none" w:sz="0" w:space="0" w:color="auto" w:frame="1"/>
          <w:lang w:val="uk-UA"/>
        </w:rPr>
        <w:t>7.3. Базовий податковий (звітний) період дорівнює календарному кварталу.</w:t>
      </w:r>
    </w:p>
    <w:p w:rsidR="00115E02" w:rsidRPr="003134DB" w:rsidRDefault="00115E02" w:rsidP="00115E02">
      <w:pPr>
        <w:widowControl w:val="0"/>
        <w:autoSpaceDE w:val="0"/>
        <w:autoSpaceDN w:val="0"/>
        <w:adjustRightInd w:val="0"/>
        <w:spacing w:after="120" w:line="240" w:lineRule="auto"/>
        <w:rPr>
          <w:rFonts w:ascii="Times New Roman" w:hAnsi="Times New Roman"/>
          <w:color w:val="000000"/>
          <w:sz w:val="24"/>
          <w:szCs w:val="24"/>
          <w:lang w:val="uk-UA"/>
        </w:rPr>
      </w:pPr>
    </w:p>
    <w:p w:rsidR="00115E02" w:rsidRPr="003134DB" w:rsidRDefault="00115E02" w:rsidP="00115E02">
      <w:pPr>
        <w:widowControl w:val="0"/>
        <w:autoSpaceDE w:val="0"/>
        <w:autoSpaceDN w:val="0"/>
        <w:adjustRightInd w:val="0"/>
        <w:spacing w:after="120" w:line="240" w:lineRule="auto"/>
        <w:rPr>
          <w:rFonts w:ascii="Times New Roman" w:hAnsi="Times New Roman"/>
          <w:color w:val="000000"/>
          <w:sz w:val="24"/>
          <w:szCs w:val="24"/>
          <w:lang w:val="uk-UA"/>
        </w:rPr>
      </w:pPr>
    </w:p>
    <w:p w:rsidR="00115E02" w:rsidRPr="003134DB" w:rsidRDefault="00115E02" w:rsidP="00115E02">
      <w:pPr>
        <w:widowControl w:val="0"/>
        <w:autoSpaceDE w:val="0"/>
        <w:autoSpaceDN w:val="0"/>
        <w:adjustRightInd w:val="0"/>
        <w:spacing w:after="120" w:line="240" w:lineRule="auto"/>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r w:rsidRPr="003134DB">
        <w:rPr>
          <w:rFonts w:ascii="Times New Roman" w:hAnsi="Times New Roman"/>
          <w:color w:val="000000"/>
          <w:sz w:val="24"/>
          <w:szCs w:val="24"/>
          <w:lang w:val="uk-UA"/>
        </w:rPr>
        <w:t>Сільський голова                                                                        М.О. Свириденко</w:t>
      </w: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115E02" w:rsidRPr="003134DB" w:rsidRDefault="00115E02" w:rsidP="00115E02">
      <w:pPr>
        <w:shd w:val="clear" w:color="auto" w:fill="FFFFFF"/>
        <w:spacing w:after="0" w:line="240" w:lineRule="auto"/>
        <w:jc w:val="both"/>
        <w:textAlignment w:val="baseline"/>
        <w:rPr>
          <w:rFonts w:ascii="Times New Roman" w:hAnsi="Times New Roman"/>
          <w:color w:val="000000"/>
          <w:sz w:val="24"/>
          <w:szCs w:val="24"/>
          <w:lang w:val="uk-UA"/>
        </w:rPr>
      </w:pPr>
    </w:p>
    <w:p w:rsidR="00D438BD" w:rsidRDefault="00D438BD"/>
    <w:sectPr w:rsidR="00D43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15E02"/>
    <w:rsid w:val="00115E02"/>
    <w:rsid w:val="00D43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4.rada.gov.ua/laws/show/2755-17/print13904645836585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2987</Characters>
  <Application>Microsoft Office Word</Application>
  <DocSecurity>0</DocSecurity>
  <Lines>24</Lines>
  <Paragraphs>7</Paragraphs>
  <ScaleCrop>false</ScaleCrop>
  <Company>SPecialiST RePack</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2</cp:revision>
  <dcterms:created xsi:type="dcterms:W3CDTF">2017-02-02T12:02:00Z</dcterms:created>
  <dcterms:modified xsi:type="dcterms:W3CDTF">2017-02-02T12:02:00Z</dcterms:modified>
</cp:coreProperties>
</file>